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9A12" w14:textId="77777777" w:rsidR="007759DC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0FDD8C05" w14:textId="77777777" w:rsidR="00207C3C" w:rsidRDefault="00207C3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41514960" w14:textId="1DB2F99E" w:rsidR="007759DC" w:rsidRPr="00021FA8" w:rsidRDefault="00AC1016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K.</w:t>
      </w:r>
      <w:r w:rsidR="007759D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1</w:t>
      </w:r>
      <w:r w:rsidR="007759DC" w:rsidRPr="00021FA8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.számú melléklet</w:t>
      </w:r>
    </w:p>
    <w:p w14:paraId="6678AC22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3E708066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21FA8">
        <w:rPr>
          <w:rFonts w:eastAsia="Times New Roman" w:cs="Times New Roman"/>
          <w:sz w:val="22"/>
          <w:szCs w:val="22"/>
          <w:lang w:eastAsia="hu-HU"/>
        </w:rPr>
        <w:t xml:space="preserve">A személyes adatok kezelésével kapcsolatosan leggyakrabban előforduló alapfogalmak és jelentésük: </w:t>
      </w:r>
    </w:p>
    <w:p w14:paraId="7CFAA00B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5DAC1C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Személyes adat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: azonosított vagy azonosítható természetes személyre ("érintett") vonatkozó bármely információ. Azonosítható az a természetes személy, aki közvetlen,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 </w:t>
      </w:r>
    </w:p>
    <w:p w14:paraId="2448CBD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7C06A5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Adatkezelés: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</w:t>
      </w:r>
    </w:p>
    <w:p w14:paraId="4BBD76A2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A fentiek alapján egy ember arca, képmása személyes adatnak minősül, a képfelvételek készítése, valamint az adatokon elhelyezett bármely művelet adatkezelésnek minősül.</w:t>
      </w:r>
    </w:p>
    <w:p w14:paraId="3E7D0090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C8B7ABD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Adatkezelő: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</w:t>
      </w:r>
    </w:p>
    <w:p w14:paraId="6DF08A1C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FEF5220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Adatfeldolgozó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az adatkezelő nevében személyes adatokat kezel.</w:t>
      </w:r>
    </w:p>
    <w:p w14:paraId="5B2E7C80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16B236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Címzett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</w:t>
      </w:r>
    </w:p>
    <w:p w14:paraId="2639E549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61DE43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Harmadik fél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kaptak.</w:t>
      </w:r>
    </w:p>
    <w:p w14:paraId="13C8920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09803E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érintett hozzájárulása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14:paraId="32DA35BE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784C93C9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Biometrikus adat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egy természetes személy testi, fiziológiai vagy viselkedési jellemzőire vonatkozó minden olyan sajátos technikai eljárásokkal nyert személyes adat, amely lehetővé teszi vagy megerősíti a természetes személy egyedi azonosítását, ilyen például az arckép vagy a daktiloszkópiai adat.</w:t>
      </w:r>
    </w:p>
    <w:p w14:paraId="2CCE771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07BB649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adatkezelés korlátozása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3B0E569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301C83A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Nyilvántartási rendszer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személyes adatok bármely módon - centralizált, decentralizált vagy funkcionális vagy földrajzi szempontok szerint - tagolt állománya, amely meghatározott ismérvek alapján hozzáférhető.</w:t>
      </w:r>
    </w:p>
    <w:p w14:paraId="50F331E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CCE200B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bookmarkStart w:id="0" w:name="_Hlk38621514"/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Adatvédelmi incidens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2AB0178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08314C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adatkezelés korlátozása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7FC0A008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BC8444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Adatfelelős: 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az a közfeladatot ellátó szerv, amely – ha az adatfelelős nem maga teszi közzé az adatot az adatfelelős által hozzá eljuttatott adatot honlapon közzéteszi.</w:t>
      </w:r>
    </w:p>
    <w:p w14:paraId="6CF0048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EEA7361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Adatállomány: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egy nyilvántartásban kezelt adatok összessége.</w:t>
      </w:r>
    </w:p>
    <w:p w14:paraId="13591CE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CB629B3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Adattovábbítás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adat meghatározott harmadik személy számára történő hozzáférhetővé tétele</w:t>
      </w:r>
    </w:p>
    <w:p w14:paraId="536A8DD2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9CF8A4E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Adattörlés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adat felismerhetetlenné tétele olya módon, hogy a helyreállítása többé nem lehetséges.</w:t>
      </w:r>
    </w:p>
    <w:p w14:paraId="69F9A41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291899FD" w14:textId="77777777" w:rsidR="007759DC" w:rsidRPr="00021FA8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  <w:r w:rsidRPr="00021FA8">
        <w:rPr>
          <w:b/>
          <w:bCs/>
          <w:kern w:val="0"/>
          <w:sz w:val="22"/>
          <w:szCs w:val="22"/>
          <w:lang w:eastAsia="hu-HU"/>
        </w:rPr>
        <w:t xml:space="preserve">Elektronikai vagyonvédelmi rendszer: </w:t>
      </w:r>
      <w:r w:rsidRPr="00021FA8">
        <w:rPr>
          <w:kern w:val="0"/>
          <w:sz w:val="22"/>
          <w:szCs w:val="22"/>
          <w:lang w:eastAsia="hu-HU"/>
        </w:rPr>
        <w:t>vagyonvédelmi célból a vállalkozási szerződésben megjelölt ingatlanon telepítendő vagy telepített elektronikus jelző és képi megfigyelőrendszer, ideértve a térfelügyeleti rendszert, az elektronikus beléptető rendszert, a betörésjelző rendszert, a távfelügyeleti rendszert, az adat- és informatikai védelemre irányuló biztonságtechnikai rendszert, továbbá az egyéb, jel és kép továbbítását vagy fény, illetve hang jelzését is lehetővé tevő elektronikus műszaki megoldást.</w:t>
      </w:r>
    </w:p>
    <w:p w14:paraId="2FD84904" w14:textId="77777777" w:rsidR="007759DC" w:rsidRPr="00021FA8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</w:p>
    <w:p w14:paraId="1775EA9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tervező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személy, aki - tevékenységéből eredően - ismeretekkel rendelkezik az elektronikai vagyonvédelmi rendszer működéséről, és az ilyen rendszer (eszköz, berendezés) tervezését személyesen végzi, vagy azt - szakmailag - közvetlenül szervezi, irányítja.</w:t>
      </w:r>
    </w:p>
    <w:p w14:paraId="21B51E9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C632CC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szerelő: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személy, aki - tevékenységéből eredően - ismeretekkel rendelkezik az elektronikai vagyonvédelmi rendszer működéséről, és az ilyen rendszer (eszköz, berendezés) telepítését, szerelését, üzemeltetését, felügyeletét, karbantartását, a hiba elhárítását személyesen végzi vagy azt - szakmailag - közvetlenül szervezi, irányítja.</w:t>
      </w:r>
    </w:p>
    <w:p w14:paraId="43B957F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8703C6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Közterület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közhasználatra szolgáló olyan állami vagy önkormányzati tulajdonban álló terület, amelyet rendeltetésének megfelelően mindenki korlátozás nélkül igénybe vehet, ideértve a közterületnek közútként szolgáló részét is.</w:t>
      </w:r>
    </w:p>
    <w:p w14:paraId="44CA128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736DB4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Magánterület közönség számára nyilvános része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olyan magánterület, amely mindenki számára korlátozás nélkül igénybe vehető, ideértve a közterület azon részét is, amelynek birtokába a személy- és vagyonvédelmi tevékenység folytatására megbízó valamely polgári jogi jogügylet, különösen bérleti vagy haszonbérleti jogviszony keretében jut, feltéve, ha</w:t>
      </w:r>
    </w:p>
    <w:p w14:paraId="2E8813A2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a)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területrész igénybevétele, használata a személy- és vagyonvédelmi tevékenységet folytató által őrzött magánterület nyilvános részén folyó tevékenységhez szervesen kapcsolódik, annak folyamatosságát, segítését szolgálja, vagy</w:t>
      </w:r>
    </w:p>
    <w:p w14:paraId="3565EE9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b)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megbízó (megrendelő), avagy a magánterület nyilvános részét igénybe vevő közönség ingóságainak elhelyezésére szolgál.</w:t>
      </w:r>
    </w:p>
    <w:p w14:paraId="2991D898" w14:textId="77777777" w:rsidR="00AF1C2F" w:rsidRDefault="00AF1C2F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227EEE4D" w14:textId="7AAF13A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lastRenderedPageBreak/>
        <w:t>Nyilvános hely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olyan épület, építmény vagy a közterületnek sportrendezvény megtartása céljából lezárt része, ahová a sportrendezvény szervezője által meghatározott feltételek mellett bárki bemehet vagy ott tartózkodhat.</w:t>
      </w:r>
    </w:p>
    <w:bookmarkEnd w:id="0"/>
    <w:p w14:paraId="66F18C5E" w14:textId="77777777" w:rsidR="00B45401" w:rsidRDefault="00B45401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5BA2E5C3" w14:textId="77777777" w:rsidR="007759DC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021FA8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Főbb jogszabályok, iránymutatások jegyzéke:</w:t>
      </w:r>
    </w:p>
    <w:p w14:paraId="13554E19" w14:textId="77777777" w:rsidR="00B45401" w:rsidRPr="00021FA8" w:rsidRDefault="00B45401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4AA1C9E8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21FA8">
        <w:rPr>
          <w:rFonts w:eastAsia="Times New Roman" w:cs="Times New Roman"/>
          <w:sz w:val="22"/>
          <w:szCs w:val="22"/>
          <w:lang w:eastAsia="hu-HU"/>
        </w:rPr>
        <w:t>-Magyarország Alaptörvénye (2011. április 25.)</w:t>
      </w:r>
    </w:p>
    <w:p w14:paraId="3BCBA54B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Pr="00C00C16">
        <w:rPr>
          <w:rFonts w:eastAsia="Times New Roman" w:cs="Times New Roman"/>
          <w:kern w:val="0"/>
          <w:sz w:val="22"/>
          <w:szCs w:val="22"/>
          <w:lang w:eastAsia="hu-HU" w:bidi="ar-SA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E910A30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-Az Információs önrendelkezési jogról és az információszabadságról szóló 2011. évi CXII. törvény</w:t>
      </w:r>
    </w:p>
    <w:p w14:paraId="6D40820A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-Magyarország helyi önkormányzatairól szóló 2011. évi CLXXXIX. törvény</w:t>
      </w:r>
    </w:p>
    <w:p w14:paraId="5EC9B916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-A Polgári Törvénykönyvről szóló 2013. évi V. törvény</w:t>
      </w:r>
    </w:p>
    <w:p w14:paraId="365730DD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Pr="00021FA8">
        <w:rPr>
          <w:rFonts w:cs="Times New Roman"/>
          <w:sz w:val="22"/>
          <w:szCs w:val="22"/>
        </w:rPr>
        <w:t>A személy- és vagyonvédelmi, valamint a magánnyomozói tevékenység szabályairól szóló 2005. évi CXXXIII. törvény</w:t>
      </w:r>
    </w:p>
    <w:p w14:paraId="238E06EC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Munka Törvénykönyvéről szóló 2012. évi I. törvény</w:t>
      </w:r>
    </w:p>
    <w:p w14:paraId="1AAC626E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köztulajdonban álló gazdasági társaságok takarékosabb működéséről szóló 2009. évi CXXII. törvény</w:t>
      </w:r>
    </w:p>
    <w:p w14:paraId="6248CF81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 nemzeti vagyonról szóló CXCVI. törvény </w:t>
      </w:r>
    </w:p>
    <w:p w14:paraId="1E4D74E3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-Az államháztartásról szóló 2011. évi CXCV. törvény </w:t>
      </w:r>
    </w:p>
    <w:p w14:paraId="1C89E6F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zenés, táncos rendezvények működésének biztonságosabbá tételéről szóló 23/2011. (III.8.) Kormány rendelet</w:t>
      </w:r>
    </w:p>
    <w:p w14:paraId="716E0B36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-Az általános közigazgatási rendtartásról szóló 2016. évi CL. törvény</w:t>
      </w:r>
    </w:p>
    <w:p w14:paraId="25B0F807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-A polgári perrendtartásról szóló 2016. évi CXXX. törvény </w:t>
      </w:r>
    </w:p>
    <w:p w14:paraId="1127DD1E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-A közigazgatási perrendtartásról szóló 2017. évi I. törvény </w:t>
      </w:r>
    </w:p>
    <w:p w14:paraId="415A80B2" w14:textId="3D9304F2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-az Európai Adatvédelmi Testület 3/2019. számú iránymutatása a kamerás megfigyelésről </w:t>
      </w:r>
      <w:hyperlink r:id="rId7" w:history="1">
        <w:r w:rsidR="00E25FD0" w:rsidRPr="008F4B6F">
          <w:rPr>
            <w:rStyle w:val="Hiperhivatkozs"/>
            <w:rFonts w:cs="Times New Roman"/>
            <w:sz w:val="22"/>
            <w:szCs w:val="22"/>
          </w:rPr>
          <w:t>https://edpb.europa.eu/sites/default/files/files/file1/edpb_guidelines_201903_video_devices_hu.pdf</w:t>
        </w:r>
      </w:hyperlink>
      <w:r w:rsidR="00E25FD0">
        <w:rPr>
          <w:rFonts w:cs="Times New Roman"/>
          <w:sz w:val="22"/>
          <w:szCs w:val="22"/>
        </w:rPr>
        <w:t xml:space="preserve"> </w:t>
      </w:r>
    </w:p>
    <w:p w14:paraId="751CA97C" w14:textId="33345FD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7B4D80DC" w14:textId="3E442C94" w:rsidR="00683F0C" w:rsidRDefault="00657F50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Hatályos: 2021.0</w:t>
      </w:r>
      <w:r w:rsidR="0083108E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.01. napjától </w:t>
      </w:r>
    </w:p>
    <w:p w14:paraId="679EE2DF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5726358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05A1B1C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3BCEC97A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07143207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CCFEED1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0098B36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92E74CD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643C2AD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090376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77AA01A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00DFC9E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3A125F8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83A7C81" w14:textId="77777777" w:rsidR="007759DC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 xml:space="preserve"> </w:t>
      </w:r>
    </w:p>
    <w:p w14:paraId="16C71970" w14:textId="77777777" w:rsidR="000674F9" w:rsidRDefault="00C144E8"/>
    <w:sectPr w:rsidR="00067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F51D" w14:textId="77777777" w:rsidR="00071E10" w:rsidRDefault="00071E10" w:rsidP="00207C3C">
      <w:r>
        <w:separator/>
      </w:r>
    </w:p>
  </w:endnote>
  <w:endnote w:type="continuationSeparator" w:id="0">
    <w:p w14:paraId="62135619" w14:textId="77777777" w:rsidR="00071E10" w:rsidRDefault="00071E10" w:rsidP="002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673E" w14:textId="77777777" w:rsidR="00C144E8" w:rsidRDefault="00C144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17423"/>
      <w:docPartObj>
        <w:docPartGallery w:val="Page Numbers (Bottom of Page)"/>
        <w:docPartUnique/>
      </w:docPartObj>
    </w:sdtPr>
    <w:sdtEndPr/>
    <w:sdtContent>
      <w:p w14:paraId="2D25351B" w14:textId="670906B3" w:rsidR="00193A59" w:rsidRDefault="00193A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E3E49" w14:textId="77777777" w:rsidR="00207C3C" w:rsidRDefault="00207C3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E48" w14:textId="77777777" w:rsidR="00C144E8" w:rsidRDefault="00C144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1C7" w14:textId="77777777" w:rsidR="00071E10" w:rsidRDefault="00071E10" w:rsidP="00207C3C">
      <w:r>
        <w:separator/>
      </w:r>
    </w:p>
  </w:footnote>
  <w:footnote w:type="continuationSeparator" w:id="0">
    <w:p w14:paraId="1DC5E471" w14:textId="77777777" w:rsidR="00071E10" w:rsidRDefault="00071E10" w:rsidP="0020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C45D" w14:textId="77777777" w:rsidR="00C144E8" w:rsidRDefault="00C144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BD8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bookmarkStart w:id="1" w:name="_Hlk38621597"/>
    <w:bookmarkStart w:id="2" w:name="_Hlk38621598"/>
    <w:bookmarkStart w:id="3" w:name="_Hlk38621606"/>
    <w:bookmarkStart w:id="4" w:name="_Hlk38621607"/>
  </w:p>
  <w:bookmarkEnd w:id="1"/>
  <w:bookmarkEnd w:id="2"/>
  <w:bookmarkEnd w:id="3"/>
  <w:bookmarkEnd w:id="4"/>
  <w:p w14:paraId="171835CD" w14:textId="5E30BA48" w:rsidR="00635D7C" w:rsidRDefault="00635D7C" w:rsidP="00635D7C">
    <w:pPr>
      <w:contextualSpacing/>
      <w:mirrorIndents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A Hatvani </w:t>
    </w:r>
    <w:r w:rsidR="00C144E8">
      <w:rPr>
        <w:rFonts w:cs="Times New Roman"/>
        <w:b/>
        <w:bCs/>
      </w:rPr>
      <w:t xml:space="preserve">Rendezvényház és Hatvani </w:t>
    </w:r>
    <w:r>
      <w:rPr>
        <w:rFonts w:cs="Times New Roman"/>
        <w:b/>
        <w:bCs/>
      </w:rPr>
      <w:t>Élménytér területén alkalmazott elektronikus megfigyelőrendszerének szabályzata</w:t>
    </w:r>
  </w:p>
  <w:p w14:paraId="16D4B305" w14:textId="77777777" w:rsidR="00635D7C" w:rsidRPr="007B34F8" w:rsidRDefault="00635D7C" w:rsidP="00635D7C">
    <w:pPr>
      <w:contextualSpacing/>
      <w:mirrorIndents/>
      <w:jc w:val="center"/>
      <w:rPr>
        <w:rFonts w:cs="Times New Roman"/>
      </w:rPr>
    </w:pPr>
    <w:r w:rsidRPr="007B34F8">
      <w:rPr>
        <w:rFonts w:cs="Times New Roman"/>
      </w:rPr>
      <w:t>(3000 Hatvan, Kossuth tér 24.)</w:t>
    </w:r>
  </w:p>
  <w:p w14:paraId="127E2694" w14:textId="77777777" w:rsidR="00207C3C" w:rsidRDefault="00207C3C" w:rsidP="00207C3C">
    <w:pPr>
      <w:pStyle w:val="lfej"/>
      <w:rPr>
        <w:color w:val="7F7F7F" w:themeColor="text1" w:themeTint="80"/>
      </w:rPr>
    </w:pPr>
  </w:p>
  <w:p w14:paraId="0C9AC9C5" w14:textId="77777777" w:rsidR="00207C3C" w:rsidRDefault="00207C3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5210" w14:textId="77777777" w:rsidR="00C144E8" w:rsidRDefault="00C144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C"/>
    <w:rsid w:val="00067E9C"/>
    <w:rsid w:val="00071E10"/>
    <w:rsid w:val="000E5CAB"/>
    <w:rsid w:val="00177826"/>
    <w:rsid w:val="00193A59"/>
    <w:rsid w:val="00207C3C"/>
    <w:rsid w:val="00635D7C"/>
    <w:rsid w:val="00657F50"/>
    <w:rsid w:val="00683F0C"/>
    <w:rsid w:val="007759DC"/>
    <w:rsid w:val="0083108E"/>
    <w:rsid w:val="00AC1016"/>
    <w:rsid w:val="00AF1C2F"/>
    <w:rsid w:val="00B45401"/>
    <w:rsid w:val="00C144E8"/>
    <w:rsid w:val="00D32222"/>
    <w:rsid w:val="00E25FD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653"/>
  <w15:chartTrackingRefBased/>
  <w15:docId w15:val="{B1CDA08F-B144-4073-9EEA-139653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D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59DC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character" w:styleId="Hiperhivatkozs">
    <w:name w:val="Hyperlink"/>
    <w:uiPriority w:val="99"/>
    <w:rsid w:val="007759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0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E2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pb.europa.eu/sites/default/files/files/file1/edpb_guidelines_201903_video_devices_h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58A7-950E-4D28-AEA0-A281C35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1054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Krémer Dániel</cp:lastModifiedBy>
  <cp:revision>10</cp:revision>
  <dcterms:created xsi:type="dcterms:W3CDTF">2021-06-15T11:54:00Z</dcterms:created>
  <dcterms:modified xsi:type="dcterms:W3CDTF">2022-08-27T06:18:00Z</dcterms:modified>
</cp:coreProperties>
</file>